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90ADC" w14:textId="77777777" w:rsidR="00915417" w:rsidRDefault="00915417" w:rsidP="002E2AD6">
      <w:pPr>
        <w:pBdr>
          <w:top w:val="nil"/>
          <w:left w:val="nil"/>
          <w:bottom w:val="nil"/>
          <w:right w:val="nil"/>
          <w:between w:val="nil"/>
          <w:bar w:val="nil"/>
        </w:pBdr>
        <w:ind w:left="2127"/>
        <w:jc w:val="both"/>
        <w:rPr>
          <w:rFonts w:eastAsia="Arial Unicode MS" w:cs="Arial Unicode MS"/>
          <w:color w:val="000000"/>
          <w:sz w:val="20"/>
          <w:szCs w:val="20"/>
          <w:u w:color="000000"/>
          <w:bdr w:val="nil"/>
        </w:rPr>
      </w:pPr>
      <w:bookmarkStart w:id="0" w:name="_Hlk97660673"/>
      <w:bookmarkStart w:id="1" w:name="_GoBack"/>
      <w:bookmarkEnd w:id="1"/>
      <w:r>
        <w:rPr>
          <w:color w:val="000000"/>
          <w:sz w:val="20"/>
          <w:u w:color="000000"/>
          <w:bdr w:val="nil"/>
        </w:rPr>
        <w:tab/>
        <w:t xml:space="preserve">  </w:t>
      </w:r>
    </w:p>
    <w:p w14:paraId="73919DAA" w14:textId="77777777" w:rsidR="00915417" w:rsidRDefault="00915417" w:rsidP="002E2AD6">
      <w:pPr>
        <w:pBdr>
          <w:top w:val="nil"/>
          <w:left w:val="nil"/>
          <w:bottom w:val="nil"/>
          <w:right w:val="nil"/>
          <w:between w:val="nil"/>
          <w:bar w:val="nil"/>
        </w:pBdr>
        <w:ind w:left="2127"/>
        <w:jc w:val="both"/>
        <w:rPr>
          <w:rFonts w:eastAsia="Arial Unicode MS" w:cs="Arial Unicode MS"/>
          <w:color w:val="000000"/>
          <w:sz w:val="20"/>
          <w:szCs w:val="20"/>
          <w:u w:color="000000"/>
          <w:bdr w:val="nil"/>
        </w:rPr>
      </w:pPr>
    </w:p>
    <w:bookmarkEnd w:id="0"/>
    <w:p w14:paraId="2A6B05C5" w14:textId="38AA128C" w:rsidR="002E2AD6" w:rsidRDefault="002E2AD6" w:rsidP="002E2AD6">
      <w:pPr>
        <w:ind w:left="2127" w:hanging="284"/>
        <w:jc w:val="both"/>
      </w:pPr>
      <w:r>
        <w:t xml:space="preserve">       Comunicado de prensa n.º 39/2024</w:t>
      </w:r>
    </w:p>
    <w:p w14:paraId="7020C398" w14:textId="77777777" w:rsidR="00B31DBE" w:rsidRDefault="00B31DBE" w:rsidP="00FE1136">
      <w:pPr>
        <w:ind w:left="2268" w:hanging="284"/>
        <w:jc w:val="both"/>
      </w:pPr>
    </w:p>
    <w:p w14:paraId="5A803FA2" w14:textId="55AB7CC1" w:rsidR="004839AE" w:rsidRDefault="004839AE" w:rsidP="004839AE">
      <w:pPr>
        <w:ind w:left="2268"/>
        <w:jc w:val="both"/>
        <w:rPr>
          <w:b/>
        </w:rPr>
      </w:pPr>
      <w:r>
        <w:rPr>
          <w:b/>
        </w:rPr>
        <w:t xml:space="preserve">El éxito de la agricultura 4.0: en 2024, </w:t>
      </w:r>
      <w:r w:rsidR="0020187D">
        <w:rPr>
          <w:b/>
        </w:rPr>
        <w:t xml:space="preserve">las empresas inteligentes alcanzan </w:t>
      </w:r>
      <w:r>
        <w:rPr>
          <w:b/>
        </w:rPr>
        <w:t>un volumen de ventas de 2.300 millones</w:t>
      </w:r>
    </w:p>
    <w:p w14:paraId="05161C32" w14:textId="77777777" w:rsidR="004839AE" w:rsidRDefault="004839AE" w:rsidP="004839AE">
      <w:pPr>
        <w:ind w:left="2268"/>
        <w:jc w:val="both"/>
        <w:rPr>
          <w:b/>
        </w:rPr>
      </w:pPr>
    </w:p>
    <w:p w14:paraId="3C4464AF" w14:textId="10EDAD81" w:rsidR="004839AE" w:rsidRDefault="004839AE" w:rsidP="004839AE">
      <w:pPr>
        <w:ind w:left="2268"/>
        <w:jc w:val="both"/>
        <w:rPr>
          <w:b/>
        </w:rPr>
      </w:pPr>
      <w:r>
        <w:rPr>
          <w:b/>
        </w:rPr>
        <w:t xml:space="preserve">En seis años, las empresas agrícolas italianas 4.0 han conquistado cada vez más espacio </w:t>
      </w:r>
      <w:r w:rsidR="0020187D">
        <w:rPr>
          <w:b/>
        </w:rPr>
        <w:t xml:space="preserve">y han </w:t>
      </w:r>
      <w:r>
        <w:rPr>
          <w:b/>
        </w:rPr>
        <w:t xml:space="preserve">genera un volumen de ventas de 2.300 millones. En el segundo día de EIMA International, el salón mundial de máquinas para la agricultura y la jardinería, se ha presentado el análisis del observatorio Smart Agrifood del Politécnico de Milán. </w:t>
      </w:r>
    </w:p>
    <w:p w14:paraId="26D76218" w14:textId="77777777" w:rsidR="004839AE" w:rsidRPr="003E4098" w:rsidRDefault="004839AE" w:rsidP="004839AE">
      <w:pPr>
        <w:ind w:left="2268"/>
        <w:jc w:val="both"/>
        <w:rPr>
          <w:b/>
        </w:rPr>
      </w:pPr>
    </w:p>
    <w:p w14:paraId="0C17A5BB" w14:textId="77777777" w:rsidR="0020187D" w:rsidRDefault="004839AE" w:rsidP="004839AE">
      <w:pPr>
        <w:ind w:left="2268"/>
        <w:jc w:val="both"/>
      </w:pPr>
      <w:r>
        <w:t>En tan solo seis años, de 2017 a 2023, la agricultura 4.0 en Italia ha dado pasos de gigante. En 2017, las empresas digitalizadas facturaron 100 millones de euros mientras que el año pasado alcanzaron los 2.300 millones. Un crecimiento del mercado apoyado en el constante aumento del número de empresas que han innovado con una perspectiva 4.0 y que, en 2024, han alcanzado el umbral de las 400 unidades.</w:t>
      </w:r>
    </w:p>
    <w:p w14:paraId="2FDB085D" w14:textId="7D805F47" w:rsidR="004839AE" w:rsidRDefault="004839AE" w:rsidP="004839AE">
      <w:pPr>
        <w:ind w:left="2268"/>
        <w:jc w:val="both"/>
      </w:pPr>
      <w:r>
        <w:t>El análisis es del observatorio Smart Agrifood del Politécnico de Milán y se ha presentado en la 46</w:t>
      </w:r>
      <w:proofErr w:type="gramStart"/>
      <w:r>
        <w:t>.ª</w:t>
      </w:r>
      <w:proofErr w:type="gramEnd"/>
      <w:r>
        <w:t xml:space="preserve"> edición de EIMA, el salón internacional de máquinas para la agricultura y la jardinería</w:t>
      </w:r>
      <w:r w:rsidR="0020187D">
        <w:t>,</w:t>
      </w:r>
      <w:r>
        <w:t xml:space="preserve"> que se está celebrando en los pabellones del recinto ferial de Bolonia.</w:t>
      </w:r>
    </w:p>
    <w:p w14:paraId="2B60D247" w14:textId="7B561128" w:rsidR="004839AE" w:rsidRPr="003E4098" w:rsidRDefault="004839AE" w:rsidP="004839AE">
      <w:pPr>
        <w:ind w:left="2268"/>
        <w:jc w:val="both"/>
      </w:pPr>
      <w:r>
        <w:t>Más del 60</w:t>
      </w:r>
      <w:r w:rsidR="0020187D">
        <w:t> </w:t>
      </w:r>
      <w:r>
        <w:t xml:space="preserve">% de las soluciones introducidas por las empresas están relacionadas con el control y el seguimiento remoto de cultivos y terrenos, así como con tecnologías de apoyo a las decisiones. El 75 % de las innovaciones corresponden a sistemas de recopilación y procesamiento de datos, el 59 % a soluciones de IoT y el 58 % a plataformas de software. Sin embargo, la inteligencia artificial y el aprendizaje automático todavía se utilizan poco. </w:t>
      </w:r>
    </w:p>
    <w:p w14:paraId="3C6FA70A" w14:textId="25283EFA" w:rsidR="004839AE" w:rsidRPr="003E4098" w:rsidRDefault="004839AE" w:rsidP="004839AE">
      <w:pPr>
        <w:ind w:left="2268"/>
        <w:jc w:val="both"/>
      </w:pPr>
      <w:r>
        <w:t xml:space="preserve">Durante el acto, además de presentar el citado análisis, se ha ilustrado el proyecto europeo QuantiFarm, en el que participan 100 empresarios agrícolas de 20 países para estudiar el impacto de las tecnologías 4.0 en los ingresos, la rentabilidad, el medioambiente y la calidad de vida de los agricultores. Algunas experiencias han permitido confirmar las ventajas que garantiza la gestión 4.0 de una explotación agrícola. De hecho, en la mayoría de casos examinados hasta ahora se ha observado un crecimiento de los ingresos y, al mismo tiempo, una reducción de </w:t>
      </w:r>
      <w:r w:rsidR="0020187D">
        <w:t>los consumos</w:t>
      </w:r>
      <w:r>
        <w:t xml:space="preserve"> de agua, energía y combustible. El impacto social también es importante, con un mejor equilibrio entre l</w:t>
      </w:r>
      <w:r w:rsidR="0020187D">
        <w:t>a vida privada y profesional.</w:t>
      </w:r>
    </w:p>
    <w:p w14:paraId="6EF0B5AC" w14:textId="77777777" w:rsidR="00E62EF9" w:rsidRDefault="00E62EF9" w:rsidP="00BD3494">
      <w:pPr>
        <w:ind w:left="2127" w:right="-150"/>
        <w:jc w:val="both"/>
        <w:rPr>
          <w:sz w:val="23"/>
          <w:szCs w:val="23"/>
        </w:rPr>
      </w:pPr>
    </w:p>
    <w:p w14:paraId="23768298" w14:textId="013C6B62" w:rsidR="00E62EF9" w:rsidRPr="00E249E4" w:rsidRDefault="00B31DBE" w:rsidP="00BD3494">
      <w:pPr>
        <w:ind w:left="2127" w:right="-150"/>
        <w:jc w:val="both"/>
        <w:rPr>
          <w:sz w:val="23"/>
          <w:szCs w:val="23"/>
        </w:rPr>
      </w:pPr>
      <w:r>
        <w:rPr>
          <w:b/>
          <w:i/>
          <w:sz w:val="23"/>
        </w:rPr>
        <w:t xml:space="preserve">  Bolonia, 7 de noviembre de 2024</w:t>
      </w:r>
    </w:p>
    <w:p w14:paraId="372C8417" w14:textId="26CF64FA" w:rsidR="00774B84" w:rsidRPr="00EC2BD8" w:rsidRDefault="00774B84" w:rsidP="00915417">
      <w:pPr>
        <w:pBdr>
          <w:top w:val="nil"/>
          <w:left w:val="nil"/>
          <w:bottom w:val="nil"/>
          <w:right w:val="nil"/>
          <w:between w:val="nil"/>
          <w:bar w:val="nil"/>
        </w:pBdr>
        <w:tabs>
          <w:tab w:val="left" w:pos="2127"/>
        </w:tabs>
        <w:ind w:right="-150"/>
        <w:jc w:val="both"/>
        <w:rPr>
          <w:rFonts w:eastAsia="Arial Unicode MS"/>
          <w:b/>
          <w:bCs/>
          <w:i/>
          <w:iCs/>
          <w:color w:val="000000"/>
          <w:sz w:val="23"/>
          <w:szCs w:val="23"/>
          <w:u w:color="000000"/>
          <w:bdr w:val="nil"/>
        </w:rPr>
      </w:pPr>
    </w:p>
    <w:sectPr w:rsidR="00774B84" w:rsidRPr="00EC2BD8" w:rsidSect="00E62EF9">
      <w:headerReference w:type="default" r:id="rId6"/>
      <w:pgSz w:w="11906" w:h="16838" w:code="9"/>
      <w:pgMar w:top="1418" w:right="1134" w:bottom="142"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4A18A" w14:textId="77777777" w:rsidR="00AB6B11" w:rsidRDefault="00AB6B11">
      <w:r>
        <w:separator/>
      </w:r>
    </w:p>
  </w:endnote>
  <w:endnote w:type="continuationSeparator" w:id="0">
    <w:p w14:paraId="55C76266" w14:textId="77777777" w:rsidR="00AB6B11" w:rsidRDefault="00AB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32C6C" w14:textId="77777777" w:rsidR="00AB6B11" w:rsidRDefault="00AB6B11">
      <w:r>
        <w:separator/>
      </w:r>
    </w:p>
  </w:footnote>
  <w:footnote w:type="continuationSeparator" w:id="0">
    <w:p w14:paraId="383E2BAF" w14:textId="77777777" w:rsidR="00AB6B11" w:rsidRDefault="00AB6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3EDED" w14:textId="77777777" w:rsidR="00774B84" w:rsidRDefault="002D6176">
    <w:pPr>
      <w:pStyle w:val="Encabezado"/>
    </w:pPr>
    <w:r>
      <w:rPr>
        <w:noProof/>
        <w:lang w:eastAsia="es-ES"/>
      </w:rPr>
      <w:drawing>
        <wp:anchor distT="0" distB="0" distL="114300" distR="114300" simplePos="0" relativeHeight="251658240" behindDoc="1" locked="0" layoutInCell="1" allowOverlap="1" wp14:anchorId="73AACF03" wp14:editId="7AD4A28B">
          <wp:simplePos x="0" y="0"/>
          <wp:positionH relativeFrom="column">
            <wp:posOffset>-681990</wp:posOffset>
          </wp:positionH>
          <wp:positionV relativeFrom="paragraph">
            <wp:posOffset>-419100</wp:posOffset>
          </wp:positionV>
          <wp:extent cx="7524750" cy="10648482"/>
          <wp:effectExtent l="0" t="0" r="0" b="0"/>
          <wp:wrapNone/>
          <wp:docPr id="1420895800"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533221" cy="106604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A2"/>
    <w:rsid w:val="0003410A"/>
    <w:rsid w:val="00041381"/>
    <w:rsid w:val="00072B4D"/>
    <w:rsid w:val="000867E4"/>
    <w:rsid w:val="000B5BE7"/>
    <w:rsid w:val="000C42E5"/>
    <w:rsid w:val="000C552A"/>
    <w:rsid w:val="00123F64"/>
    <w:rsid w:val="00131C1D"/>
    <w:rsid w:val="00132C83"/>
    <w:rsid w:val="0016465E"/>
    <w:rsid w:val="001E4BD1"/>
    <w:rsid w:val="001F54A2"/>
    <w:rsid w:val="0020187D"/>
    <w:rsid w:val="002205D6"/>
    <w:rsid w:val="002D6176"/>
    <w:rsid w:val="002E2AD6"/>
    <w:rsid w:val="003728AA"/>
    <w:rsid w:val="0038239F"/>
    <w:rsid w:val="00392F74"/>
    <w:rsid w:val="003B7256"/>
    <w:rsid w:val="004043E1"/>
    <w:rsid w:val="00427A0F"/>
    <w:rsid w:val="00455C8D"/>
    <w:rsid w:val="004839AE"/>
    <w:rsid w:val="004D7DCB"/>
    <w:rsid w:val="00557A6D"/>
    <w:rsid w:val="00590BF8"/>
    <w:rsid w:val="006761F4"/>
    <w:rsid w:val="006E0FCB"/>
    <w:rsid w:val="006E2603"/>
    <w:rsid w:val="007148A8"/>
    <w:rsid w:val="00725234"/>
    <w:rsid w:val="00751C16"/>
    <w:rsid w:val="00774B84"/>
    <w:rsid w:val="007870B2"/>
    <w:rsid w:val="007912B3"/>
    <w:rsid w:val="007A5169"/>
    <w:rsid w:val="007F0871"/>
    <w:rsid w:val="00801795"/>
    <w:rsid w:val="00803A92"/>
    <w:rsid w:val="008378A8"/>
    <w:rsid w:val="00851F4B"/>
    <w:rsid w:val="00864AF6"/>
    <w:rsid w:val="0088201C"/>
    <w:rsid w:val="008A4ED0"/>
    <w:rsid w:val="008B1420"/>
    <w:rsid w:val="008D5ECB"/>
    <w:rsid w:val="008E332C"/>
    <w:rsid w:val="008E6666"/>
    <w:rsid w:val="008F40F3"/>
    <w:rsid w:val="00913F2E"/>
    <w:rsid w:val="00915417"/>
    <w:rsid w:val="009D6A2D"/>
    <w:rsid w:val="009F22FB"/>
    <w:rsid w:val="00A64A4D"/>
    <w:rsid w:val="00A676B9"/>
    <w:rsid w:val="00AB6B11"/>
    <w:rsid w:val="00AE5CFA"/>
    <w:rsid w:val="00AF7E95"/>
    <w:rsid w:val="00B31DBE"/>
    <w:rsid w:val="00B50AE0"/>
    <w:rsid w:val="00B537C4"/>
    <w:rsid w:val="00B83EF9"/>
    <w:rsid w:val="00BA64C4"/>
    <w:rsid w:val="00BC5F3E"/>
    <w:rsid w:val="00BD3494"/>
    <w:rsid w:val="00BF58EF"/>
    <w:rsid w:val="00CA0B36"/>
    <w:rsid w:val="00CE1062"/>
    <w:rsid w:val="00CF1420"/>
    <w:rsid w:val="00CF5BC8"/>
    <w:rsid w:val="00D3234E"/>
    <w:rsid w:val="00D65F12"/>
    <w:rsid w:val="00DC159E"/>
    <w:rsid w:val="00DD0A4A"/>
    <w:rsid w:val="00DD36A6"/>
    <w:rsid w:val="00DE42DB"/>
    <w:rsid w:val="00E041D8"/>
    <w:rsid w:val="00E34961"/>
    <w:rsid w:val="00E62EF9"/>
    <w:rsid w:val="00E90625"/>
    <w:rsid w:val="00EC2BD8"/>
    <w:rsid w:val="00F97AD1"/>
    <w:rsid w:val="00FD6B4C"/>
    <w:rsid w:val="00FE1136"/>
    <w:rsid w:val="00FE6F33"/>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7AE2C"/>
  <w15:chartTrackingRefBased/>
  <w15:docId w15:val="{9FEB596A-0C57-4148-A0D9-54D19BE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ind w:hanging="567"/>
      <w:outlineLvl w:val="0"/>
    </w:pPr>
    <w:rPr>
      <w:sz w:val="28"/>
    </w:rPr>
  </w:style>
  <w:style w:type="paragraph" w:styleId="Ttulo3">
    <w:name w:val="heading 3"/>
    <w:basedOn w:val="Normal"/>
    <w:next w:val="Normal"/>
    <w:qFormat/>
    <w:pPr>
      <w:keepNext/>
      <w:ind w:left="-426" w:right="-427" w:hanging="141"/>
      <w:outlineLvl w:val="2"/>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819"/>
        <w:tab w:val="right" w:pos="9638"/>
      </w:tabs>
    </w:pPr>
  </w:style>
  <w:style w:type="paragraph" w:styleId="Piedepgina">
    <w:name w:val="footer"/>
    <w:basedOn w:val="Normal"/>
    <w:pPr>
      <w:tabs>
        <w:tab w:val="center" w:pos="4819"/>
        <w:tab w:val="right" w:pos="9638"/>
      </w:tabs>
    </w:pPr>
  </w:style>
  <w:style w:type="paragraph" w:styleId="Textoindependiente">
    <w:name w:val="Body Text"/>
    <w:basedOn w:val="Normal"/>
  </w:style>
  <w:style w:type="paragraph" w:customStyle="1" w:styleId="Terminedefinizione">
    <w:name w:val="Termine definizione"/>
    <w:basedOn w:val="Normal"/>
    <w:next w:val="Normal"/>
    <w:rPr>
      <w:snapToGrid w:val="0"/>
    </w:rPr>
  </w:style>
  <w:style w:type="paragraph" w:styleId="Sangradetextonormal">
    <w:name w:val="Body Text Indent"/>
    <w:basedOn w:val="Normal"/>
    <w:pPr>
      <w:ind w:left="-567"/>
    </w:pPr>
    <w:rPr>
      <w:sz w:val="28"/>
    </w:rPr>
  </w:style>
  <w:style w:type="character" w:styleId="Hipervnculo">
    <w:name w:val="Hyperlink"/>
    <w:basedOn w:val="Fuentedeprrafopredeter"/>
    <w:rsid w:val="004D7DCB"/>
    <w:rPr>
      <w:color w:val="0563C1" w:themeColor="hyperlink"/>
      <w:u w:val="single"/>
    </w:rPr>
  </w:style>
  <w:style w:type="character" w:customStyle="1" w:styleId="UnresolvedMention">
    <w:name w:val="Unresolved Mention"/>
    <w:basedOn w:val="Fuentedeprrafopredeter"/>
    <w:uiPriority w:val="99"/>
    <w:semiHidden/>
    <w:unhideWhenUsed/>
    <w:rsid w:val="004D7DCB"/>
    <w:rPr>
      <w:color w:val="605E5C"/>
      <w:shd w:val="clear" w:color="auto" w:fill="E1DFDD"/>
    </w:rPr>
  </w:style>
  <w:style w:type="paragraph" w:customStyle="1" w:styleId="ntestoita">
    <w:name w:val="ntestoita"/>
    <w:basedOn w:val="Normal"/>
    <w:rsid w:val="0088201C"/>
    <w:pPr>
      <w:spacing w:before="100" w:beforeAutospacing="1" w:after="100" w:afterAutospacing="1"/>
    </w:pPr>
  </w:style>
  <w:style w:type="paragraph" w:customStyle="1" w:styleId="xmsonormal">
    <w:name w:val="x_msonormal"/>
    <w:basedOn w:val="Normal"/>
    <w:rsid w:val="002205D6"/>
    <w:pPr>
      <w:spacing w:before="100" w:beforeAutospacing="1" w:after="100" w:afterAutospacing="1"/>
    </w:pPr>
    <w:rPr>
      <w14:ligatures w14:val="standardContextual"/>
    </w:rPr>
  </w:style>
  <w:style w:type="paragraph" w:styleId="Textodeglobo">
    <w:name w:val="Balloon Text"/>
    <w:basedOn w:val="Normal"/>
    <w:link w:val="TextodegloboCar"/>
    <w:rsid w:val="0020187D"/>
    <w:rPr>
      <w:rFonts w:ascii="Segoe UI" w:hAnsi="Segoe UI" w:cs="Segoe UI"/>
      <w:sz w:val="18"/>
      <w:szCs w:val="18"/>
    </w:rPr>
  </w:style>
  <w:style w:type="character" w:customStyle="1" w:styleId="TextodegloboCar">
    <w:name w:val="Texto de globo Car"/>
    <w:basedOn w:val="Fuentedeprrafopredeter"/>
    <w:link w:val="Textodeglobo"/>
    <w:rsid w:val="002018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51404">
      <w:bodyDiv w:val="1"/>
      <w:marLeft w:val="0"/>
      <w:marRight w:val="0"/>
      <w:marTop w:val="0"/>
      <w:marBottom w:val="0"/>
      <w:divBdr>
        <w:top w:val="none" w:sz="0" w:space="0" w:color="auto"/>
        <w:left w:val="none" w:sz="0" w:space="0" w:color="auto"/>
        <w:bottom w:val="none" w:sz="0" w:space="0" w:color="auto"/>
        <w:right w:val="none" w:sz="0" w:space="0" w:color="auto"/>
      </w:divBdr>
    </w:div>
    <w:div w:id="545994093">
      <w:bodyDiv w:val="1"/>
      <w:marLeft w:val="0"/>
      <w:marRight w:val="0"/>
      <w:marTop w:val="0"/>
      <w:marBottom w:val="0"/>
      <w:divBdr>
        <w:top w:val="none" w:sz="0" w:space="0" w:color="auto"/>
        <w:left w:val="none" w:sz="0" w:space="0" w:color="auto"/>
        <w:bottom w:val="none" w:sz="0" w:space="0" w:color="auto"/>
        <w:right w:val="none" w:sz="0" w:space="0" w:color="auto"/>
      </w:divBdr>
    </w:div>
    <w:div w:id="654988232">
      <w:bodyDiv w:val="1"/>
      <w:marLeft w:val="0"/>
      <w:marRight w:val="0"/>
      <w:marTop w:val="0"/>
      <w:marBottom w:val="0"/>
      <w:divBdr>
        <w:top w:val="none" w:sz="0" w:space="0" w:color="auto"/>
        <w:left w:val="none" w:sz="0" w:space="0" w:color="auto"/>
        <w:bottom w:val="none" w:sz="0" w:space="0" w:color="auto"/>
        <w:right w:val="none" w:sz="0" w:space="0" w:color="auto"/>
      </w:divBdr>
    </w:div>
    <w:div w:id="9383698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1998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2357</CharactersWithSpaces>
  <SharedDoc>false</SharedDoc>
  <HLinks>
    <vt:vector size="6" baseType="variant">
      <vt:variant>
        <vt:i4>8257539</vt:i4>
      </vt:variant>
      <vt:variant>
        <vt:i4>-1</vt:i4>
      </vt:variant>
      <vt:variant>
        <vt:i4>2054</vt:i4>
      </vt:variant>
      <vt:variant>
        <vt:i4>1</vt:i4>
      </vt:variant>
      <vt:variant>
        <vt:lpwstr>CARTA INT EIMA ing 2018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Daniel Sau</cp:lastModifiedBy>
  <cp:revision>3</cp:revision>
  <cp:lastPrinted>2024-11-08T12:46:00Z</cp:lastPrinted>
  <dcterms:created xsi:type="dcterms:W3CDTF">2024-11-08T13:00:00Z</dcterms:created>
  <dcterms:modified xsi:type="dcterms:W3CDTF">2024-11-08T13:00:00Z</dcterms:modified>
</cp:coreProperties>
</file>